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F505" w14:textId="77777777" w:rsidR="00BF2B71" w:rsidRDefault="00BF2B71" w:rsidP="00BF2B71">
      <w:pPr>
        <w:spacing w:after="0"/>
        <w:ind w:left="5040"/>
        <w:rPr>
          <w:rFonts w:ascii="Times New Roman" w:hAnsi="Times New Roman" w:cs="Times New Roman"/>
          <w:sz w:val="24"/>
          <w:szCs w:val="24"/>
        </w:rPr>
      </w:pPr>
      <w:r>
        <w:rPr>
          <w:rFonts w:ascii="Times New Roman" w:hAnsi="Times New Roman" w:cs="Times New Roman"/>
          <w:sz w:val="24"/>
          <w:szCs w:val="24"/>
        </w:rPr>
        <w:t>IN THE CIRCUIT COURT, FOURTH</w:t>
      </w:r>
    </w:p>
    <w:p w14:paraId="3D70A106" w14:textId="77777777" w:rsidR="00BF2B71" w:rsidRDefault="00BF2B71" w:rsidP="00BF2B71">
      <w:pPr>
        <w:spacing w:after="0"/>
        <w:ind w:left="4320" w:firstLine="720"/>
        <w:rPr>
          <w:rFonts w:ascii="Times New Roman" w:hAnsi="Times New Roman" w:cs="Times New Roman"/>
          <w:sz w:val="24"/>
          <w:szCs w:val="24"/>
        </w:rPr>
      </w:pPr>
      <w:r>
        <w:rPr>
          <w:rFonts w:ascii="Times New Roman" w:hAnsi="Times New Roman" w:cs="Times New Roman"/>
          <w:sz w:val="24"/>
          <w:szCs w:val="24"/>
        </w:rPr>
        <w:t xml:space="preserve">JUDICIAL CIRCUIT, IN AND FOR  </w:t>
      </w:r>
    </w:p>
    <w:p w14:paraId="24DE45B6" w14:textId="77777777" w:rsidR="00BF2B71" w:rsidRDefault="00BF2B71" w:rsidP="00BF2B71">
      <w:pPr>
        <w:tabs>
          <w:tab w:val="left" w:pos="5400"/>
        </w:tabs>
        <w:spacing w:after="0"/>
        <w:rPr>
          <w:rFonts w:ascii="Times New Roman" w:hAnsi="Times New Roman" w:cs="Times New Roman"/>
          <w:sz w:val="24"/>
          <w:szCs w:val="24"/>
        </w:rPr>
      </w:pPr>
      <w:r>
        <w:rPr>
          <w:rFonts w:ascii="Times New Roman" w:hAnsi="Times New Roman" w:cs="Times New Roman"/>
          <w:sz w:val="24"/>
          <w:szCs w:val="24"/>
        </w:rPr>
        <w:t xml:space="preserve">                                                                                    DUVAL COUNTY, FLORIDA</w:t>
      </w:r>
    </w:p>
    <w:p w14:paraId="7E252B7C"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r>
    </w:p>
    <w:p w14:paraId="7302221D"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CASE NO.:</w:t>
      </w:r>
    </w:p>
    <w:p w14:paraId="33E3AC4B" w14:textId="77777777" w:rsidR="00BF2B71" w:rsidRDefault="00BF2B71" w:rsidP="00BF2B71">
      <w:pPr>
        <w:tabs>
          <w:tab w:val="left" w:pos="5040"/>
        </w:tabs>
        <w:spacing w:after="0"/>
        <w:rPr>
          <w:rFonts w:ascii="Times New Roman" w:hAnsi="Times New Roman" w:cs="Times New Roman"/>
          <w:sz w:val="24"/>
          <w:szCs w:val="24"/>
        </w:rPr>
      </w:pPr>
      <w:r>
        <w:rPr>
          <w:rFonts w:ascii="Times New Roman" w:hAnsi="Times New Roman" w:cs="Times New Roman"/>
          <w:sz w:val="24"/>
          <w:szCs w:val="24"/>
        </w:rPr>
        <w:tab/>
        <w:t>DIVISION</w:t>
      </w:r>
      <w:proofErr w:type="gramStart"/>
      <w:r>
        <w:rPr>
          <w:rFonts w:ascii="Times New Roman" w:hAnsi="Times New Roman" w:cs="Times New Roman"/>
          <w:sz w:val="24"/>
          <w:szCs w:val="24"/>
        </w:rPr>
        <w:t>:  CV</w:t>
      </w:r>
      <w:proofErr w:type="gramEnd"/>
      <w:r>
        <w:rPr>
          <w:rFonts w:ascii="Times New Roman" w:hAnsi="Times New Roman" w:cs="Times New Roman"/>
          <w:sz w:val="24"/>
          <w:szCs w:val="24"/>
        </w:rPr>
        <w:t>-E</w:t>
      </w:r>
    </w:p>
    <w:p w14:paraId="40559987" w14:textId="77777777" w:rsidR="00BF2B71" w:rsidRDefault="00BF2B71" w:rsidP="00BF2B71">
      <w:pPr>
        <w:tabs>
          <w:tab w:val="left" w:pos="5400"/>
        </w:tabs>
        <w:spacing w:after="0"/>
        <w:rPr>
          <w:rFonts w:ascii="Times New Roman" w:hAnsi="Times New Roman" w:cs="Times New Roman"/>
          <w:sz w:val="24"/>
          <w:szCs w:val="24"/>
        </w:rPr>
      </w:pPr>
    </w:p>
    <w:p w14:paraId="2EEFB98B" w14:textId="77777777" w:rsidR="00BF2B71" w:rsidRDefault="00BF2B71" w:rsidP="00BF2B71">
      <w:pPr>
        <w:tabs>
          <w:tab w:val="left" w:pos="5400"/>
        </w:tabs>
        <w:spacing w:after="0"/>
        <w:rPr>
          <w:rFonts w:ascii="Times New Roman" w:hAnsi="Times New Roman" w:cs="Times New Roman"/>
          <w:sz w:val="24"/>
          <w:szCs w:val="24"/>
        </w:rPr>
      </w:pPr>
      <w:r>
        <w:rPr>
          <w:rFonts w:ascii="Times New Roman" w:hAnsi="Times New Roman" w:cs="Times New Roman"/>
          <w:sz w:val="24"/>
          <w:szCs w:val="24"/>
        </w:rPr>
        <w:t>,</w:t>
      </w:r>
    </w:p>
    <w:p w14:paraId="3DADD9BF" w14:textId="77777777" w:rsidR="00BF2B71" w:rsidRDefault="00BF2B71" w:rsidP="00BF2B71">
      <w:pPr>
        <w:spacing w:after="0"/>
        <w:rPr>
          <w:rFonts w:ascii="Times New Roman" w:hAnsi="Times New Roman" w:cs="Times New Roman"/>
          <w:sz w:val="24"/>
          <w:szCs w:val="24"/>
        </w:rPr>
      </w:pPr>
    </w:p>
    <w:p w14:paraId="51873C78"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ab/>
        <w:t>Plaintiff(s),</w:t>
      </w:r>
    </w:p>
    <w:p w14:paraId="4C279764" w14:textId="77777777" w:rsidR="00BF2B71" w:rsidRDefault="00BF2B71" w:rsidP="00BF2B71">
      <w:pPr>
        <w:spacing w:after="0"/>
        <w:rPr>
          <w:rFonts w:ascii="Times New Roman" w:hAnsi="Times New Roman" w:cs="Times New Roman"/>
          <w:sz w:val="24"/>
          <w:szCs w:val="24"/>
        </w:rPr>
      </w:pPr>
    </w:p>
    <w:p w14:paraId="25E7C254"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 xml:space="preserve">v. </w:t>
      </w:r>
    </w:p>
    <w:p w14:paraId="4716D2AD" w14:textId="77777777" w:rsidR="00BF2B71" w:rsidRDefault="00BF2B71" w:rsidP="00BF2B71">
      <w:pPr>
        <w:spacing w:after="0"/>
        <w:rPr>
          <w:rFonts w:ascii="Times New Roman" w:hAnsi="Times New Roman" w:cs="Times New Roman"/>
          <w:sz w:val="24"/>
          <w:szCs w:val="24"/>
        </w:rPr>
      </w:pPr>
    </w:p>
    <w:p w14:paraId="519D1F99"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w:t>
      </w:r>
    </w:p>
    <w:p w14:paraId="13D207E0" w14:textId="77777777" w:rsidR="00BF2B71" w:rsidRDefault="00BF2B71" w:rsidP="00BF2B71">
      <w:pPr>
        <w:spacing w:after="0"/>
        <w:rPr>
          <w:rFonts w:ascii="Times New Roman" w:hAnsi="Times New Roman" w:cs="Times New Roman"/>
          <w:sz w:val="24"/>
          <w:szCs w:val="24"/>
        </w:rPr>
      </w:pPr>
    </w:p>
    <w:p w14:paraId="7B84E74D"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ab/>
        <w:t xml:space="preserve">Defendant(s). </w:t>
      </w:r>
    </w:p>
    <w:p w14:paraId="34AA6764" w14:textId="77777777" w:rsidR="00BF2B71" w:rsidRDefault="00BF2B71" w:rsidP="00BF2B7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84D28E5" w14:textId="77777777" w:rsidR="00BF2B71" w:rsidRDefault="00BF2B71" w:rsidP="00BF2B71">
      <w:pPr>
        <w:tabs>
          <w:tab w:val="left" w:pos="5400"/>
        </w:tabs>
        <w:spacing w:after="0"/>
        <w:rPr>
          <w:rFonts w:ascii="Times New Roman" w:hAnsi="Times New Roman" w:cs="Times New Roman"/>
          <w:sz w:val="24"/>
          <w:szCs w:val="24"/>
        </w:rPr>
      </w:pPr>
    </w:p>
    <w:p w14:paraId="13268A33" w14:textId="77777777" w:rsidR="00BF2B71" w:rsidRDefault="00BF2B71" w:rsidP="00BF2B71">
      <w:pPr>
        <w:spacing w:after="0"/>
        <w:jc w:val="center"/>
        <w:rPr>
          <w:rFonts w:ascii="Times New Roman" w:hAnsi="Times New Roman" w:cs="Times New Roman"/>
          <w:b/>
          <w:bCs/>
          <w:sz w:val="24"/>
          <w:szCs w:val="24"/>
          <w:u w:val="single"/>
        </w:rPr>
      </w:pPr>
      <w:r w:rsidRPr="001D01F0">
        <w:rPr>
          <w:rFonts w:ascii="Times New Roman" w:hAnsi="Times New Roman" w:cs="Times New Roman"/>
          <w:b/>
          <w:bCs/>
          <w:sz w:val="24"/>
          <w:szCs w:val="24"/>
          <w:u w:val="single"/>
        </w:rPr>
        <w:t xml:space="preserve">ORDER </w:t>
      </w:r>
      <w:r>
        <w:rPr>
          <w:rFonts w:ascii="Times New Roman" w:hAnsi="Times New Roman" w:cs="Times New Roman"/>
          <w:b/>
          <w:bCs/>
          <w:sz w:val="24"/>
          <w:szCs w:val="24"/>
          <w:u w:val="single"/>
        </w:rPr>
        <w:t>FOLLOWING 150 DAY CASE</w:t>
      </w:r>
      <w:r w:rsidRPr="001D01F0">
        <w:rPr>
          <w:rFonts w:ascii="Times New Roman" w:hAnsi="Times New Roman" w:cs="Times New Roman"/>
          <w:b/>
          <w:bCs/>
          <w:sz w:val="24"/>
          <w:szCs w:val="24"/>
          <w:u w:val="single"/>
        </w:rPr>
        <w:t xml:space="preserve"> MANAGEMENT CONFERENCE</w:t>
      </w:r>
    </w:p>
    <w:p w14:paraId="4890720F" w14:textId="3DC1EED8" w:rsidR="00BF2B71" w:rsidRDefault="00BF2B71" w:rsidP="00BF2B71">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TO </w:t>
      </w:r>
      <w:r w:rsidR="00C1650A">
        <w:rPr>
          <w:rFonts w:ascii="Times New Roman" w:hAnsi="Times New Roman" w:cs="Times New Roman"/>
          <w:b/>
          <w:bCs/>
          <w:sz w:val="24"/>
          <w:szCs w:val="24"/>
          <w:u w:val="single"/>
        </w:rPr>
        <w:t>SET</w:t>
      </w:r>
      <w:r>
        <w:rPr>
          <w:rFonts w:ascii="Times New Roman" w:hAnsi="Times New Roman" w:cs="Times New Roman"/>
          <w:b/>
          <w:bCs/>
          <w:sz w:val="24"/>
          <w:szCs w:val="24"/>
          <w:u w:val="single"/>
        </w:rPr>
        <w:t xml:space="preserve"> ACTUAL TRIAL PERIOD</w:t>
      </w:r>
    </w:p>
    <w:p w14:paraId="687497BE" w14:textId="77777777" w:rsidR="00BF2B71" w:rsidRDefault="00BF2B71" w:rsidP="00BF2B71">
      <w:pPr>
        <w:spacing w:after="0"/>
        <w:jc w:val="both"/>
        <w:rPr>
          <w:rFonts w:ascii="Times New Roman" w:hAnsi="Times New Roman" w:cs="Times New Roman"/>
          <w:b/>
          <w:bCs/>
          <w:sz w:val="24"/>
          <w:szCs w:val="24"/>
          <w:u w:val="single"/>
        </w:rPr>
      </w:pPr>
    </w:p>
    <w:p w14:paraId="5BEE3C3F" w14:textId="77777777" w:rsidR="00BF2B71" w:rsidRDefault="00BF2B71" w:rsidP="00BF2B7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D01F0">
        <w:rPr>
          <w:rFonts w:ascii="Times New Roman" w:hAnsi="Times New Roman" w:cs="Times New Roman"/>
          <w:b/>
          <w:bCs/>
          <w:sz w:val="24"/>
          <w:szCs w:val="24"/>
        </w:rPr>
        <w:t>THIS CAUSE</w:t>
      </w:r>
      <w:r>
        <w:rPr>
          <w:rFonts w:ascii="Times New Roman" w:hAnsi="Times New Roman" w:cs="Times New Roman"/>
          <w:sz w:val="24"/>
          <w:szCs w:val="24"/>
        </w:rPr>
        <w:t xml:space="preserve"> came before the Court for a 150-day Case Management Conference (“CMC”) on _________________, 20____ pursuant to Rule 1.200(j), Fla. R. Civ. P.  The Court, having reviewed the record, considered the parties’ </w:t>
      </w:r>
      <w:r w:rsidRPr="008C06BE">
        <w:rPr>
          <w:rFonts w:ascii="Times New Roman" w:hAnsi="Times New Roman" w:cs="Times New Roman"/>
          <w:i/>
          <w:iCs/>
          <w:sz w:val="24"/>
          <w:szCs w:val="24"/>
        </w:rPr>
        <w:t xml:space="preserve">Division CV-E Uniform 150 Day Case Management Report </w:t>
      </w:r>
      <w:r>
        <w:rPr>
          <w:rFonts w:ascii="Times New Roman" w:hAnsi="Times New Roman" w:cs="Times New Roman"/>
          <w:sz w:val="24"/>
          <w:szCs w:val="24"/>
        </w:rPr>
        <w:t xml:space="preserve">and </w:t>
      </w:r>
      <w:r w:rsidRPr="008C06BE">
        <w:rPr>
          <w:rFonts w:ascii="Times New Roman" w:hAnsi="Times New Roman" w:cs="Times New Roman"/>
          <w:i/>
          <w:iCs/>
          <w:sz w:val="24"/>
          <w:szCs w:val="24"/>
        </w:rPr>
        <w:t>Division CV-E Trial Set Memorandum</w:t>
      </w:r>
      <w:r>
        <w:rPr>
          <w:rFonts w:ascii="Times New Roman" w:hAnsi="Times New Roman" w:cs="Times New Roman"/>
          <w:sz w:val="24"/>
          <w:szCs w:val="24"/>
        </w:rPr>
        <w:t>, and discussed the status of the action with counsel for the parties, makes the following finding(s):</w:t>
      </w:r>
    </w:p>
    <w:p w14:paraId="5CFD31F8" w14:textId="7772BBA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action is ready to be set for an actual trial period pursuant to Florida Rules of Civil Procedure 1.200 and 1.440 and should be set for trial. </w:t>
      </w:r>
    </w:p>
    <w:p w14:paraId="3BE1B164" w14:textId="11F8D4D1"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(If applicable) Initial Service of Process could not be timely made on Defendant(s) (enter name(s) of defendants) pursuant to Fla. R. Civ. P. 1.070, and in order to advance the resolution of the action within deadlines set forth in Rules 2.250(a)(1)(B) and 2.545(a), (b), and (e), Fla. R. Gen. </w:t>
      </w:r>
      <w:proofErr w:type="spellStart"/>
      <w:r>
        <w:rPr>
          <w:rFonts w:ascii="Times New Roman" w:hAnsi="Times New Roman" w:cs="Times New Roman"/>
          <w:szCs w:val="24"/>
        </w:rPr>
        <w:t>Prac</w:t>
      </w:r>
      <w:proofErr w:type="spellEnd"/>
      <w:r>
        <w:rPr>
          <w:rFonts w:ascii="Times New Roman" w:hAnsi="Times New Roman" w:cs="Times New Roman"/>
          <w:szCs w:val="24"/>
        </w:rPr>
        <w:t xml:space="preserve">. &amp; Jud. Admin.  Plaintiff must serve initial service of process on such defendant(s) by NO LATER THAN </w:t>
      </w:r>
      <w:r w:rsidRPr="00BF2B71">
        <w:rPr>
          <w:rFonts w:ascii="Times New Roman" w:hAnsi="Times New Roman" w:cs="Times New Roman"/>
          <w:szCs w:val="24"/>
          <w:u w:val="single"/>
        </w:rPr>
        <w:t>(enter date)</w:t>
      </w:r>
      <w:r>
        <w:rPr>
          <w:rFonts w:ascii="Times New Roman" w:hAnsi="Times New Roman" w:cs="Times New Roman"/>
          <w:szCs w:val="24"/>
          <w:u w:val="single"/>
        </w:rPr>
        <w:t>,</w:t>
      </w:r>
      <w:r w:rsidRPr="00BF2B71">
        <w:rPr>
          <w:rFonts w:ascii="Times New Roman" w:hAnsi="Times New Roman" w:cs="Times New Roman"/>
          <w:szCs w:val="24"/>
        </w:rPr>
        <w:t xml:space="preserve"> </w:t>
      </w:r>
      <w:r w:rsidRPr="0016387B">
        <w:rPr>
          <w:rFonts w:ascii="Times New Roman" w:hAnsi="Times New Roman" w:cs="Times New Roman"/>
          <w:szCs w:val="24"/>
        </w:rPr>
        <w:t>20</w:t>
      </w:r>
      <w:r w:rsidRPr="00693164">
        <w:rPr>
          <w:rFonts w:ascii="Times New Roman" w:hAnsi="Times New Roman" w:cs="Times New Roman"/>
          <w:szCs w:val="24"/>
        </w:rPr>
        <w:t>__</w:t>
      </w:r>
      <w:r w:rsidRPr="00BF2B71">
        <w:rPr>
          <w:rFonts w:ascii="Times New Roman" w:hAnsi="Times New Roman" w:cs="Times New Roman"/>
          <w:szCs w:val="24"/>
        </w:rPr>
        <w:t xml:space="preserve">. </w:t>
      </w:r>
      <w:r>
        <w:rPr>
          <w:rFonts w:ascii="Times New Roman" w:hAnsi="Times New Roman" w:cs="Times New Roman"/>
          <w:szCs w:val="24"/>
        </w:rPr>
        <w:t xml:space="preserve"> </w:t>
      </w:r>
    </w:p>
    <w:p w14:paraId="288B362B" w14:textId="00976A46"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lastRenderedPageBreak/>
        <w:t xml:space="preserve">The Court has considered the amount of judicial attention required for resolution of the action and finds that it should be assigned to a (enter Complex, Streamlined or General) case management track. </w:t>
      </w:r>
    </w:p>
    <w:p w14:paraId="383C92D6" w14:textId="60E5087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trial of the action (enter should or should not) be expedited and advanced on the docket pursuant to section 415.1115, Fla. </w:t>
      </w:r>
      <w:proofErr w:type="gramStart"/>
      <w:r>
        <w:rPr>
          <w:rFonts w:ascii="Times New Roman" w:hAnsi="Times New Roman" w:cs="Times New Roman"/>
          <w:szCs w:val="24"/>
        </w:rPr>
        <w:t>Stat..</w:t>
      </w:r>
      <w:proofErr w:type="gramEnd"/>
    </w:p>
    <w:p w14:paraId="4466A017" w14:textId="63B8534C"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A reasonable time period for trial of the action</w:t>
      </w:r>
      <w:r w:rsidR="00693164">
        <w:rPr>
          <w:rFonts w:ascii="Times New Roman" w:hAnsi="Times New Roman" w:cs="Times New Roman"/>
          <w:szCs w:val="24"/>
        </w:rPr>
        <w:t xml:space="preserve"> is</w:t>
      </w:r>
      <w:r>
        <w:rPr>
          <w:rFonts w:ascii="Times New Roman" w:hAnsi="Times New Roman" w:cs="Times New Roman"/>
          <w:szCs w:val="24"/>
        </w:rPr>
        <w:t xml:space="preserve"> (enter number) days. </w:t>
      </w:r>
    </w:p>
    <w:p w14:paraId="180422CB" w14:textId="6F506878" w:rsidR="00BF2B71" w:rsidRDefault="00BF2B71" w:rsidP="00BF2B71">
      <w:pPr>
        <w:pStyle w:val="ListParagraph"/>
        <w:numPr>
          <w:ilvl w:val="0"/>
          <w:numId w:val="1"/>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The trial of the action should be set for an actual trial period and pretrial deadlines consistent with the time standards specified in Florida Rule of General Practice and Judicial Administration 2.250(a)(1)(B) pursuant to Rule 1.200(d),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68E04321" w14:textId="7DFDE388" w:rsidR="00BF2B71" w:rsidRDefault="00BF2B71" w:rsidP="00BF2B71">
      <w:pPr>
        <w:spacing w:after="0" w:line="480" w:lineRule="auto"/>
        <w:ind w:firstLine="720"/>
        <w:jc w:val="both"/>
        <w:rPr>
          <w:rFonts w:ascii="Times New Roman" w:hAnsi="Times New Roman" w:cs="Times New Roman"/>
          <w:szCs w:val="24"/>
        </w:rPr>
      </w:pPr>
      <w:r>
        <w:rPr>
          <w:rFonts w:ascii="Times New Roman" w:hAnsi="Times New Roman" w:cs="Times New Roman"/>
          <w:szCs w:val="24"/>
        </w:rPr>
        <w:t xml:space="preserve">The Court being otherwise duly and fully advised in the premises, for the reasons set forth above, it is hereby, </w:t>
      </w:r>
    </w:p>
    <w:p w14:paraId="43832F81" w14:textId="43721910" w:rsidR="00BF2B71" w:rsidRPr="00BF2B71" w:rsidRDefault="00BF2B71" w:rsidP="00BF2B71">
      <w:pPr>
        <w:spacing w:after="0" w:line="480" w:lineRule="auto"/>
        <w:ind w:firstLine="720"/>
        <w:jc w:val="both"/>
        <w:rPr>
          <w:rFonts w:ascii="Times New Roman" w:hAnsi="Times New Roman" w:cs="Times New Roman"/>
          <w:b/>
          <w:bCs/>
          <w:szCs w:val="24"/>
        </w:rPr>
      </w:pPr>
      <w:r w:rsidRPr="00BF2B71">
        <w:rPr>
          <w:rFonts w:ascii="Times New Roman" w:hAnsi="Times New Roman" w:cs="Times New Roman"/>
          <w:b/>
          <w:bCs/>
          <w:szCs w:val="24"/>
        </w:rPr>
        <w:t>ORDERED:</w:t>
      </w:r>
    </w:p>
    <w:p w14:paraId="0A65043B" w14:textId="06969F04" w:rsidR="00BF2B71" w:rsidRDefault="00BF2B71" w:rsidP="0016387B">
      <w:pPr>
        <w:pStyle w:val="ListParagraph"/>
        <w:numPr>
          <w:ilvl w:val="0"/>
          <w:numId w:val="2"/>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(For Streamlined and General Jury Trial Cases only) The action will be set for an actual jury trial period the week(s) of </w:t>
      </w:r>
      <w:r w:rsidRPr="008B68D9">
        <w:rPr>
          <w:rFonts w:ascii="Times New Roman" w:hAnsi="Times New Roman" w:cs="Times New Roman"/>
          <w:szCs w:val="24"/>
          <w:u w:val="single"/>
        </w:rPr>
        <w:t>(</w:t>
      </w:r>
      <w:r w:rsidR="008B68D9" w:rsidRPr="008B68D9">
        <w:rPr>
          <w:rFonts w:ascii="Times New Roman" w:hAnsi="Times New Roman" w:cs="Times New Roman"/>
          <w:szCs w:val="24"/>
          <w:u w:val="single"/>
        </w:rPr>
        <w:t>enter date</w:t>
      </w:r>
      <w:r w:rsidR="008B68D9" w:rsidRPr="008B68D9">
        <w:rPr>
          <w:rFonts w:ascii="Times New Roman" w:hAnsi="Times New Roman" w:cs="Times New Roman"/>
          <w:szCs w:val="24"/>
        </w:rPr>
        <w:t>), 2024</w:t>
      </w:r>
      <w:r w:rsidR="008B68D9">
        <w:rPr>
          <w:rFonts w:ascii="Times New Roman" w:hAnsi="Times New Roman" w:cs="Times New Roman"/>
          <w:szCs w:val="24"/>
        </w:rPr>
        <w:t xml:space="preserve"> (if needed – and </w:t>
      </w:r>
      <w:r w:rsidR="008B68D9" w:rsidRPr="008B68D9">
        <w:rPr>
          <w:rFonts w:ascii="Times New Roman" w:hAnsi="Times New Roman" w:cs="Times New Roman"/>
          <w:szCs w:val="24"/>
          <w:u w:val="single"/>
        </w:rPr>
        <w:t>enter date</w:t>
      </w:r>
      <w:r w:rsidR="008B68D9">
        <w:rPr>
          <w:rFonts w:ascii="Times New Roman" w:hAnsi="Times New Roman" w:cs="Times New Roman"/>
          <w:szCs w:val="24"/>
        </w:rPr>
        <w:t>, 20__) and pretrial deadlines by a separate Order to be entered by the Court.  The time allocated for the jury trial of the action is (</w:t>
      </w:r>
      <w:r w:rsidR="008B68D9" w:rsidRPr="008B68D9">
        <w:rPr>
          <w:rFonts w:ascii="Times New Roman" w:hAnsi="Times New Roman" w:cs="Times New Roman"/>
          <w:szCs w:val="24"/>
          <w:u w:val="single"/>
        </w:rPr>
        <w:t>enter number</w:t>
      </w:r>
      <w:r w:rsidR="008B68D9">
        <w:rPr>
          <w:rFonts w:ascii="Times New Roman" w:hAnsi="Times New Roman" w:cs="Times New Roman"/>
          <w:szCs w:val="24"/>
        </w:rPr>
        <w:t xml:space="preserve">) days. </w:t>
      </w:r>
    </w:p>
    <w:p w14:paraId="062ED280" w14:textId="632E4181" w:rsidR="003359E0" w:rsidRDefault="001A27E8" w:rsidP="0016387B">
      <w:pPr>
        <w:pStyle w:val="ListParagraph"/>
        <w:numPr>
          <w:ilvl w:val="0"/>
          <w:numId w:val="3"/>
        </w:numPr>
        <w:spacing w:after="0" w:line="480" w:lineRule="auto"/>
        <w:ind w:left="0" w:firstLine="360"/>
        <w:jc w:val="both"/>
        <w:rPr>
          <w:rFonts w:ascii="Times New Roman" w:hAnsi="Times New Roman" w:cs="Times New Roman"/>
          <w:szCs w:val="24"/>
        </w:rPr>
      </w:pPr>
      <w:r w:rsidRPr="001A27E8">
        <w:rPr>
          <w:rFonts w:ascii="Times New Roman" w:hAnsi="Times New Roman" w:cs="Times New Roman"/>
          <w:szCs w:val="24"/>
        </w:rPr>
        <w:t xml:space="preserve">(For </w:t>
      </w:r>
      <w:r>
        <w:rPr>
          <w:rFonts w:ascii="Times New Roman" w:hAnsi="Times New Roman" w:cs="Times New Roman"/>
          <w:szCs w:val="24"/>
        </w:rPr>
        <w:t xml:space="preserve">Complex Jury Trial Cases only) </w:t>
      </w:r>
      <w:r w:rsidRPr="001A27E8">
        <w:rPr>
          <w:rFonts w:ascii="Times New Roman" w:hAnsi="Times New Roman" w:cs="Times New Roman"/>
          <w:szCs w:val="24"/>
        </w:rPr>
        <w:t xml:space="preserve">The </w:t>
      </w:r>
      <w:r>
        <w:rPr>
          <w:rFonts w:ascii="Times New Roman" w:hAnsi="Times New Roman" w:cs="Times New Roman"/>
          <w:szCs w:val="24"/>
        </w:rPr>
        <w:t xml:space="preserve">Court has separately entered an order declaring the action complex.  Therefore, attorneys for the parties as well as any parties appearing </w:t>
      </w:r>
      <w:r w:rsidRPr="0016387B">
        <w:rPr>
          <w:rFonts w:ascii="Times New Roman" w:hAnsi="Times New Roman" w:cs="Times New Roman"/>
          <w:i/>
          <w:iCs/>
          <w:szCs w:val="24"/>
        </w:rPr>
        <w:t>pro se</w:t>
      </w:r>
      <w:r>
        <w:rPr>
          <w:rFonts w:ascii="Times New Roman" w:hAnsi="Times New Roman" w:cs="Times New Roman"/>
          <w:szCs w:val="24"/>
        </w:rPr>
        <w:t xml:space="preserve"> must schedule a meet and confer by no later than </w:t>
      </w:r>
      <w:r w:rsidRPr="001A27E8">
        <w:rPr>
          <w:rFonts w:ascii="Times New Roman" w:hAnsi="Times New Roman" w:cs="Times New Roman"/>
          <w:szCs w:val="24"/>
          <w:u w:val="single"/>
        </w:rPr>
        <w:t>(enter date)</w:t>
      </w:r>
      <w:r>
        <w:rPr>
          <w:rFonts w:ascii="Times New Roman" w:hAnsi="Times New Roman" w:cs="Times New Roman"/>
          <w:szCs w:val="24"/>
        </w:rPr>
        <w:t xml:space="preserve">, 20__.  </w:t>
      </w:r>
      <w:proofErr w:type="gramStart"/>
      <w:r>
        <w:rPr>
          <w:rFonts w:ascii="Times New Roman" w:hAnsi="Times New Roman" w:cs="Times New Roman"/>
          <w:szCs w:val="24"/>
        </w:rPr>
        <w:t>Plaintiff’s</w:t>
      </w:r>
      <w:proofErr w:type="gramEnd"/>
      <w:r>
        <w:rPr>
          <w:rFonts w:ascii="Times New Roman" w:hAnsi="Times New Roman" w:cs="Times New Roman"/>
          <w:szCs w:val="24"/>
        </w:rPr>
        <w:t xml:space="preserve"> counsel must take the lead in scheduling the date, time, and location of said meet and confer. The purpose of this </w:t>
      </w:r>
      <w:proofErr w:type="gramStart"/>
      <w:r>
        <w:rPr>
          <w:rFonts w:ascii="Times New Roman" w:hAnsi="Times New Roman" w:cs="Times New Roman"/>
          <w:szCs w:val="24"/>
        </w:rPr>
        <w:t>meet</w:t>
      </w:r>
      <w:proofErr w:type="gramEnd"/>
      <w:r>
        <w:rPr>
          <w:rFonts w:ascii="Times New Roman" w:hAnsi="Times New Roman" w:cs="Times New Roman"/>
          <w:szCs w:val="24"/>
        </w:rPr>
        <w:t xml:space="preserve"> and confer is to comply with the initial requirements of the Florida Rule of Civil Procedure for Complex Litigation 1.201, to schedule the action for an actual jury trial period, including</w:t>
      </w:r>
      <w:r w:rsidR="003359E0">
        <w:rPr>
          <w:rFonts w:ascii="Times New Roman" w:hAnsi="Times New Roman" w:cs="Times New Roman"/>
          <w:szCs w:val="24"/>
        </w:rPr>
        <w:t xml:space="preserve">, but not limited to: </w:t>
      </w:r>
    </w:p>
    <w:p w14:paraId="0F051F03" w14:textId="77777777"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lastRenderedPageBreak/>
        <w:t xml:space="preserve">scheduling a timely initial case management conference to be held by the Court within 60 days from the date of the order declaring the action complex pursuant to Rule 1.201(b),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2AC0FB7F" w14:textId="6825CF49"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 xml:space="preserve">preparing a joint statement to be timely filed with the clerk of the court no later than 14 days before the initial case management conference pursuant to Rule 1.201(b)(1) (A) – (P), Fla. R. Civ. </w:t>
      </w:r>
      <w:proofErr w:type="gramStart"/>
      <w:r>
        <w:rPr>
          <w:rFonts w:ascii="Times New Roman" w:hAnsi="Times New Roman" w:cs="Times New Roman"/>
          <w:szCs w:val="24"/>
        </w:rPr>
        <w:t>P.;</w:t>
      </w:r>
      <w:proofErr w:type="gramEnd"/>
      <w:r>
        <w:rPr>
          <w:rFonts w:ascii="Times New Roman" w:hAnsi="Times New Roman" w:cs="Times New Roman"/>
          <w:szCs w:val="24"/>
        </w:rPr>
        <w:t xml:space="preserve"> </w:t>
      </w:r>
    </w:p>
    <w:p w14:paraId="20C98435" w14:textId="19C76251" w:rsidR="003359E0" w:rsidRDefault="003359E0" w:rsidP="009B62AC">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drafting a single proposed Complex Case Management Order (“Complex CMO”) for the Court’s consideration during the initial case management conference compliant with the minimum requirements of Rule 1.201(c);</w:t>
      </w:r>
      <w:r>
        <w:rPr>
          <w:rStyle w:val="FootnoteReference"/>
          <w:rFonts w:ascii="Times New Roman" w:hAnsi="Times New Roman" w:cs="Times New Roman"/>
          <w:szCs w:val="24"/>
        </w:rPr>
        <w:footnoteReference w:id="1"/>
      </w:r>
    </w:p>
    <w:p w14:paraId="46568A1A" w14:textId="2D0325A8" w:rsidR="009B62AC" w:rsidRPr="009B62AC" w:rsidRDefault="009B62AC" w:rsidP="00A33491">
      <w:pPr>
        <w:spacing w:after="0" w:line="480" w:lineRule="auto"/>
        <w:ind w:firstLine="360"/>
        <w:jc w:val="both"/>
        <w:rPr>
          <w:rFonts w:ascii="Times New Roman" w:hAnsi="Times New Roman" w:cs="Times New Roman"/>
          <w:sz w:val="24"/>
          <w:szCs w:val="24"/>
        </w:rPr>
      </w:pPr>
      <w:r w:rsidRPr="009B62A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(For Streamlined and General Non-Jury Trial Cases Only) </w:t>
      </w:r>
      <w:r w:rsidRPr="00693164">
        <w:rPr>
          <w:rFonts w:ascii="Times New Roman" w:hAnsi="Times New Roman" w:cs="Times New Roman"/>
          <w:sz w:val="24"/>
          <w:szCs w:val="24"/>
        </w:rPr>
        <w:t xml:space="preserve">The action will be set for an actual non-jury trial period (during the week of </w:t>
      </w:r>
      <w:r w:rsidRPr="00693164">
        <w:rPr>
          <w:rFonts w:ascii="Times New Roman" w:hAnsi="Times New Roman" w:cs="Times New Roman"/>
          <w:sz w:val="24"/>
          <w:szCs w:val="24"/>
          <w:u w:val="single"/>
        </w:rPr>
        <w:t>enter date</w:t>
      </w:r>
      <w:r w:rsidRPr="00693164">
        <w:rPr>
          <w:rFonts w:ascii="Times New Roman" w:hAnsi="Times New Roman" w:cs="Times New Roman"/>
          <w:sz w:val="24"/>
          <w:szCs w:val="24"/>
        </w:rPr>
        <w:t xml:space="preserve"> or </w:t>
      </w:r>
      <w:r w:rsidRPr="00693164">
        <w:rPr>
          <w:rFonts w:ascii="Times New Roman" w:hAnsi="Times New Roman" w:cs="Times New Roman"/>
          <w:sz w:val="24"/>
          <w:szCs w:val="24"/>
          <w:u w:val="single"/>
        </w:rPr>
        <w:t xml:space="preserve">enter date and time certain </w:t>
      </w:r>
      <w:r w:rsidRPr="00693164">
        <w:rPr>
          <w:rFonts w:ascii="Times New Roman" w:hAnsi="Times New Roman" w:cs="Times New Roman"/>
          <w:sz w:val="24"/>
          <w:szCs w:val="24"/>
        </w:rPr>
        <w:t>as provided by the Court’s Judicial Assistant) and pretrial deadlines by a separate Order to be entered by the Court.  The time allocated for non-jury trial of the action is (enter number of days or hours).</w:t>
      </w:r>
      <w:r>
        <w:rPr>
          <w:rFonts w:ascii="Times New Roman" w:hAnsi="Times New Roman" w:cs="Times New Roman"/>
          <w:szCs w:val="24"/>
        </w:rPr>
        <w:t xml:space="preserve"> </w:t>
      </w:r>
    </w:p>
    <w:p w14:paraId="0CF09F19" w14:textId="790298B2" w:rsidR="001A27E8" w:rsidRDefault="009B62AC" w:rsidP="00A33491">
      <w:pPr>
        <w:pStyle w:val="ListParagraph"/>
        <w:numPr>
          <w:ilvl w:val="0"/>
          <w:numId w:val="3"/>
        </w:numPr>
        <w:spacing w:after="0" w:line="480" w:lineRule="auto"/>
        <w:ind w:left="0" w:firstLine="360"/>
        <w:jc w:val="both"/>
        <w:rPr>
          <w:rFonts w:ascii="Times New Roman" w:hAnsi="Times New Roman" w:cs="Times New Roman"/>
          <w:szCs w:val="24"/>
        </w:rPr>
      </w:pPr>
      <w:r>
        <w:rPr>
          <w:rFonts w:ascii="Times New Roman" w:hAnsi="Times New Roman" w:cs="Times New Roman"/>
          <w:szCs w:val="24"/>
        </w:rPr>
        <w:t xml:space="preserve">(If necessary) Plaintiff(s) deadline to serve initial service of process on Defendant(s) (enter name(s) of defendants) pursuant to Fla. R. Civ. P. 1.070 is hereby extended to </w:t>
      </w:r>
      <w:r w:rsidRPr="009B62AC">
        <w:rPr>
          <w:rFonts w:ascii="Times New Roman" w:hAnsi="Times New Roman" w:cs="Times New Roman"/>
          <w:szCs w:val="24"/>
          <w:u w:val="single"/>
        </w:rPr>
        <w:t>(enter date)</w:t>
      </w:r>
      <w:r>
        <w:rPr>
          <w:rFonts w:ascii="Times New Roman" w:hAnsi="Times New Roman" w:cs="Times New Roman"/>
          <w:szCs w:val="24"/>
        </w:rPr>
        <w:t xml:space="preserve">, 20__.  </w:t>
      </w:r>
      <w:r w:rsidRPr="00693164">
        <w:rPr>
          <w:rFonts w:ascii="Times New Roman" w:hAnsi="Times New Roman" w:cs="Times New Roman"/>
          <w:b/>
          <w:bCs/>
          <w:szCs w:val="24"/>
        </w:rPr>
        <w:t>No further extensions of the deadline to serve initial service of process on said Defendant(s) will be granted.</w:t>
      </w:r>
      <w:r>
        <w:rPr>
          <w:rFonts w:ascii="Times New Roman" w:hAnsi="Times New Roman" w:cs="Times New Roman"/>
          <w:szCs w:val="24"/>
        </w:rPr>
        <w:t xml:space="preserve"> </w:t>
      </w:r>
    </w:p>
    <w:p w14:paraId="309A9365" w14:textId="5AEEA548" w:rsidR="008823DC" w:rsidRPr="001A27E8" w:rsidRDefault="008823DC" w:rsidP="008823DC">
      <w:pPr>
        <w:pStyle w:val="ListParagraph"/>
        <w:spacing w:after="0" w:line="480" w:lineRule="auto"/>
        <w:ind w:left="0" w:firstLine="720"/>
        <w:jc w:val="both"/>
        <w:rPr>
          <w:rFonts w:ascii="Times New Roman" w:hAnsi="Times New Roman" w:cs="Times New Roman"/>
          <w:szCs w:val="24"/>
        </w:rPr>
      </w:pPr>
      <w:r w:rsidRPr="008823DC">
        <w:rPr>
          <w:rFonts w:ascii="Times New Roman" w:hAnsi="Times New Roman" w:cs="Times New Roman"/>
          <w:b/>
          <w:bCs/>
          <w:szCs w:val="24"/>
        </w:rPr>
        <w:t>DONE AND ORDERED</w:t>
      </w:r>
      <w:r>
        <w:rPr>
          <w:rFonts w:ascii="Times New Roman" w:hAnsi="Times New Roman" w:cs="Times New Roman"/>
          <w:szCs w:val="24"/>
        </w:rPr>
        <w:t xml:space="preserve"> in Chambers at Jacksonville, Duval County, Florida this ___ day of ________________, 2024. </w:t>
      </w:r>
    </w:p>
    <w:p w14:paraId="22A597B5" w14:textId="36894709"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____________________________________</w:t>
      </w:r>
    </w:p>
    <w:p w14:paraId="307D98A5" w14:textId="4F618859"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BRUCE R. ANDERSON, JR.</w:t>
      </w:r>
    </w:p>
    <w:p w14:paraId="2647C3EA" w14:textId="2458C487" w:rsidR="008823DC" w:rsidRDefault="008823DC" w:rsidP="008823DC">
      <w:pPr>
        <w:spacing w:after="0" w:line="240" w:lineRule="auto"/>
        <w:ind w:left="72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Circuit Court Judge</w:t>
      </w:r>
    </w:p>
    <w:p w14:paraId="4D8D8DE2" w14:textId="77777777" w:rsidR="00F25B2D" w:rsidRDefault="00F25B2D" w:rsidP="008823DC">
      <w:pPr>
        <w:spacing w:after="0" w:line="240" w:lineRule="auto"/>
        <w:jc w:val="both"/>
        <w:rPr>
          <w:rFonts w:ascii="Times New Roman" w:hAnsi="Times New Roman" w:cs="Times New Roman"/>
          <w:szCs w:val="24"/>
        </w:rPr>
      </w:pPr>
    </w:p>
    <w:p w14:paraId="05A97B88" w14:textId="77777777" w:rsidR="00F25B2D" w:rsidRDefault="00F25B2D" w:rsidP="008823DC">
      <w:pPr>
        <w:spacing w:after="0" w:line="240" w:lineRule="auto"/>
        <w:jc w:val="both"/>
        <w:rPr>
          <w:rFonts w:ascii="Times New Roman" w:hAnsi="Times New Roman" w:cs="Times New Roman"/>
          <w:szCs w:val="24"/>
        </w:rPr>
      </w:pPr>
    </w:p>
    <w:p w14:paraId="6BDCABA8" w14:textId="4A89059F" w:rsidR="008823DC" w:rsidRDefault="008823DC" w:rsidP="008823DC">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 xml:space="preserve">Copies </w:t>
      </w:r>
      <w:proofErr w:type="gramStart"/>
      <w:r>
        <w:rPr>
          <w:rFonts w:ascii="Times New Roman" w:hAnsi="Times New Roman" w:cs="Times New Roman"/>
          <w:szCs w:val="24"/>
        </w:rPr>
        <w:t>to</w:t>
      </w:r>
      <w:proofErr w:type="gramEnd"/>
      <w:r>
        <w:rPr>
          <w:rFonts w:ascii="Times New Roman" w:hAnsi="Times New Roman" w:cs="Times New Roman"/>
          <w:szCs w:val="24"/>
        </w:rPr>
        <w:t>:</w:t>
      </w:r>
    </w:p>
    <w:p w14:paraId="64A99154" w14:textId="77777777" w:rsidR="008823DC" w:rsidRDefault="008823DC" w:rsidP="008823DC">
      <w:pPr>
        <w:spacing w:after="0" w:line="240" w:lineRule="auto"/>
        <w:jc w:val="both"/>
        <w:rPr>
          <w:rFonts w:ascii="Times New Roman" w:hAnsi="Times New Roman" w:cs="Times New Roman"/>
          <w:szCs w:val="24"/>
        </w:rPr>
      </w:pPr>
    </w:p>
    <w:p w14:paraId="243EA5AE" w14:textId="7DC76CAF" w:rsidR="008823DC" w:rsidRPr="001A27E8" w:rsidRDefault="008823DC" w:rsidP="008823DC">
      <w:pPr>
        <w:spacing w:after="0" w:line="240" w:lineRule="auto"/>
        <w:jc w:val="both"/>
        <w:rPr>
          <w:rFonts w:ascii="Times New Roman" w:hAnsi="Times New Roman" w:cs="Times New Roman"/>
          <w:szCs w:val="24"/>
        </w:rPr>
      </w:pPr>
      <w:r>
        <w:rPr>
          <w:rFonts w:ascii="Times New Roman" w:hAnsi="Times New Roman" w:cs="Times New Roman"/>
          <w:szCs w:val="24"/>
        </w:rPr>
        <w:t>All counsel of record via e-portal</w:t>
      </w:r>
    </w:p>
    <w:p w14:paraId="13CE10EE" w14:textId="77777777" w:rsidR="006528B1" w:rsidRDefault="006528B1"/>
    <w:sectPr w:rsidR="006528B1" w:rsidSect="00693164">
      <w:footerReference w:type="default" r:id="rId8"/>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EE49" w14:textId="77777777" w:rsidR="003359E0" w:rsidRDefault="003359E0" w:rsidP="003359E0">
      <w:pPr>
        <w:spacing w:after="0" w:line="240" w:lineRule="auto"/>
      </w:pPr>
      <w:r>
        <w:separator/>
      </w:r>
    </w:p>
  </w:endnote>
  <w:endnote w:type="continuationSeparator" w:id="0">
    <w:p w14:paraId="02943A9E" w14:textId="77777777" w:rsidR="003359E0" w:rsidRDefault="003359E0" w:rsidP="0033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38379"/>
      <w:docPartObj>
        <w:docPartGallery w:val="Page Numbers (Bottom of Page)"/>
        <w:docPartUnique/>
      </w:docPartObj>
    </w:sdtPr>
    <w:sdtEndPr>
      <w:rPr>
        <w:noProof/>
      </w:rPr>
    </w:sdtEndPr>
    <w:sdtContent>
      <w:p w14:paraId="22CD11FA" w14:textId="48DD94FB" w:rsidR="008823DC" w:rsidRDefault="008823DC">
        <w:pPr>
          <w:pStyle w:val="Footer"/>
          <w:jc w:val="center"/>
        </w:pPr>
        <w:r w:rsidRPr="008B552D">
          <w:rPr>
            <w:rFonts w:ascii="Times New Roman" w:hAnsi="Times New Roman" w:cs="Times New Roman"/>
          </w:rPr>
          <w:fldChar w:fldCharType="begin"/>
        </w:r>
        <w:r w:rsidRPr="008B552D">
          <w:rPr>
            <w:rFonts w:ascii="Times New Roman" w:hAnsi="Times New Roman" w:cs="Times New Roman"/>
          </w:rPr>
          <w:instrText xml:space="preserve"> PAGE   \* MERGEFORMAT </w:instrText>
        </w:r>
        <w:r w:rsidRPr="008B552D">
          <w:rPr>
            <w:rFonts w:ascii="Times New Roman" w:hAnsi="Times New Roman" w:cs="Times New Roman"/>
          </w:rPr>
          <w:fldChar w:fldCharType="separate"/>
        </w:r>
        <w:r w:rsidRPr="008B552D">
          <w:rPr>
            <w:rFonts w:ascii="Times New Roman" w:hAnsi="Times New Roman" w:cs="Times New Roman"/>
            <w:noProof/>
          </w:rPr>
          <w:t>2</w:t>
        </w:r>
        <w:r w:rsidRPr="008B552D">
          <w:rPr>
            <w:rFonts w:ascii="Times New Roman" w:hAnsi="Times New Roman" w:cs="Times New Roman"/>
            <w:noProof/>
          </w:rPr>
          <w:fldChar w:fldCharType="end"/>
        </w:r>
      </w:p>
    </w:sdtContent>
  </w:sdt>
  <w:p w14:paraId="20A05297" w14:textId="77777777" w:rsidR="008823DC" w:rsidRDefault="0088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05B2" w14:textId="77777777" w:rsidR="003359E0" w:rsidRDefault="003359E0" w:rsidP="003359E0">
      <w:pPr>
        <w:spacing w:after="0" w:line="240" w:lineRule="auto"/>
      </w:pPr>
      <w:r>
        <w:separator/>
      </w:r>
    </w:p>
  </w:footnote>
  <w:footnote w:type="continuationSeparator" w:id="0">
    <w:p w14:paraId="695FA668" w14:textId="77777777" w:rsidR="003359E0" w:rsidRDefault="003359E0" w:rsidP="003359E0">
      <w:pPr>
        <w:spacing w:after="0" w:line="240" w:lineRule="auto"/>
      </w:pPr>
      <w:r>
        <w:continuationSeparator/>
      </w:r>
    </w:p>
  </w:footnote>
  <w:footnote w:id="1">
    <w:p w14:paraId="11138AAC" w14:textId="053328DA" w:rsidR="003359E0" w:rsidRPr="009B62AC" w:rsidRDefault="003359E0" w:rsidP="009B62AC">
      <w:pPr>
        <w:pStyle w:val="FootnoteText"/>
        <w:jc w:val="both"/>
        <w:rPr>
          <w:rFonts w:ascii="Times New Roman" w:hAnsi="Times New Roman" w:cs="Times New Roman"/>
        </w:rPr>
      </w:pPr>
      <w:r w:rsidRPr="009B62AC">
        <w:rPr>
          <w:rStyle w:val="FootnoteReference"/>
          <w:rFonts w:ascii="Times New Roman" w:hAnsi="Times New Roman" w:cs="Times New Roman"/>
        </w:rPr>
        <w:footnoteRef/>
      </w:r>
      <w:r w:rsidRPr="009B62AC">
        <w:rPr>
          <w:rFonts w:ascii="Times New Roman" w:hAnsi="Times New Roman" w:cs="Times New Roman"/>
        </w:rPr>
        <w:t xml:space="preserve"> To facilitate this meet and confer process to prepare an appropriate proposed Complex CMO the parties should utilize, as a starting point, the Court’s template for a Complex CMO published in Word format </w:t>
      </w:r>
      <w:r w:rsidR="00693164">
        <w:rPr>
          <w:rFonts w:ascii="Times New Roman" w:hAnsi="Times New Roman" w:cs="Times New Roman"/>
        </w:rPr>
        <w:t xml:space="preserve">on the Fourth Judicial Circuit website </w:t>
      </w:r>
      <w:r w:rsidR="00C1650A">
        <w:rPr>
          <w:rFonts w:ascii="Times New Roman" w:hAnsi="Times New Roman" w:cs="Times New Roman"/>
        </w:rPr>
        <w:t>(</w:t>
      </w:r>
      <w:r w:rsidR="00693164" w:rsidRPr="00F56486">
        <w:rPr>
          <w:rFonts w:ascii="Times New Roman" w:hAnsi="Times New Roman" w:cs="Times New Roman"/>
        </w:rPr>
        <w:t>See website:</w:t>
      </w:r>
      <w:r w:rsidR="00693164">
        <w:rPr>
          <w:rFonts w:ascii="Times New Roman" w:hAnsi="Times New Roman" w:cs="Times New Roman"/>
        </w:rPr>
        <w:t xml:space="preserve"> </w:t>
      </w:r>
      <w:hyperlink r:id="rId1" w:history="1">
        <w:r w:rsidR="00693164" w:rsidRPr="00F56486">
          <w:rPr>
            <w:rStyle w:val="Hyperlink"/>
            <w:rFonts w:ascii="Times New Roman" w:hAnsi="Times New Roman" w:cs="Times New Roman"/>
          </w:rPr>
          <w:t>https://www.jud4.org/Ex-Parte-Procedures-and-Dates</w:t>
        </w:r>
      </w:hyperlink>
      <w:r w:rsidR="00C1650A" w:rsidRPr="00C1650A">
        <w:rPr>
          <w:rStyle w:val="Hyperlink"/>
          <w:rFonts w:ascii="Times New Roman" w:hAnsi="Times New Roman" w:cs="Times New Roman"/>
          <w:color w:val="auto"/>
          <w:u w:val="none"/>
        </w:rPr>
        <w:t>)</w:t>
      </w:r>
      <w:r w:rsidR="00C1650A">
        <w:rPr>
          <w:rStyle w:val="Hyperlink"/>
          <w:rFonts w:ascii="Times New Roman" w:hAnsi="Times New Roman" w:cs="Times New Roman"/>
          <w:color w:val="auto"/>
          <w:u w:val="none"/>
        </w:rPr>
        <w:t xml:space="preserve"> </w:t>
      </w:r>
      <w:r w:rsidRPr="009B62AC">
        <w:rPr>
          <w:rFonts w:ascii="Times New Roman" w:hAnsi="Times New Roman" w:cs="Times New Roman"/>
        </w:rPr>
        <w:t xml:space="preserve">to draft either an “Agreed” Complex CMO or a </w:t>
      </w:r>
      <w:r w:rsidR="009B62AC" w:rsidRPr="009B62AC">
        <w:rPr>
          <w:rFonts w:ascii="Times New Roman" w:hAnsi="Times New Roman" w:cs="Times New Roman"/>
        </w:rPr>
        <w:t>single, red-lined</w:t>
      </w:r>
      <w:r w:rsidRPr="009B62AC">
        <w:rPr>
          <w:rFonts w:ascii="Times New Roman" w:hAnsi="Times New Roman" w:cs="Times New Roman"/>
        </w:rPr>
        <w:t xml:space="preserve"> version of the Complex CMO in draft form for the Court to consider competing Complex CMO provisions during the initial case management conference.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508"/>
    <w:multiLevelType w:val="hybridMultilevel"/>
    <w:tmpl w:val="CE727B46"/>
    <w:lvl w:ilvl="0" w:tplc="D6AC1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71903"/>
    <w:multiLevelType w:val="hybridMultilevel"/>
    <w:tmpl w:val="FF46C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66941"/>
    <w:multiLevelType w:val="hybridMultilevel"/>
    <w:tmpl w:val="E2AC6604"/>
    <w:lvl w:ilvl="0" w:tplc="E53C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0452D2"/>
    <w:multiLevelType w:val="hybridMultilevel"/>
    <w:tmpl w:val="6E8C9050"/>
    <w:lvl w:ilvl="0" w:tplc="ACEC6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4637118">
    <w:abstractNumId w:val="1"/>
  </w:num>
  <w:num w:numId="2" w16cid:durableId="494608989">
    <w:abstractNumId w:val="2"/>
  </w:num>
  <w:num w:numId="3" w16cid:durableId="637152597">
    <w:abstractNumId w:val="3"/>
  </w:num>
  <w:num w:numId="4" w16cid:durableId="12107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71"/>
    <w:rsid w:val="0016387B"/>
    <w:rsid w:val="001A27E8"/>
    <w:rsid w:val="003359E0"/>
    <w:rsid w:val="00457BAB"/>
    <w:rsid w:val="006528B1"/>
    <w:rsid w:val="00693164"/>
    <w:rsid w:val="008823DC"/>
    <w:rsid w:val="008B552D"/>
    <w:rsid w:val="008B68D9"/>
    <w:rsid w:val="009A2DAD"/>
    <w:rsid w:val="009B62AC"/>
    <w:rsid w:val="00A26390"/>
    <w:rsid w:val="00A33491"/>
    <w:rsid w:val="00B1740D"/>
    <w:rsid w:val="00BF2B71"/>
    <w:rsid w:val="00C1650A"/>
    <w:rsid w:val="00D940BC"/>
    <w:rsid w:val="00F2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899D"/>
  <w15:chartTrackingRefBased/>
  <w15:docId w15:val="{95DB42AF-85B3-4859-A952-D7D9A520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71"/>
    <w:rPr>
      <w:rFonts w:asciiTheme="minorHAnsi" w:hAnsiTheme="minorHAnsi" w:cstheme="minorBidi"/>
      <w:sz w:val="22"/>
      <w:szCs w:val="22"/>
    </w:rPr>
  </w:style>
  <w:style w:type="paragraph" w:styleId="Heading1">
    <w:name w:val="heading 1"/>
    <w:basedOn w:val="Normal"/>
    <w:next w:val="Normal"/>
    <w:link w:val="Heading1Char"/>
    <w:uiPriority w:val="9"/>
    <w:qFormat/>
    <w:rsid w:val="00BF2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B71"/>
    <w:pPr>
      <w:keepNext/>
      <w:keepLines/>
      <w:spacing w:before="80" w:after="40"/>
      <w:outlineLvl w:val="3"/>
    </w:pPr>
    <w:rPr>
      <w:rFonts w:eastAsiaTheme="majorEastAsia" w:cstheme="majorBidi"/>
      <w:i/>
      <w:iCs/>
      <w:color w:val="0F4761" w:themeColor="accent1" w:themeShade="BF"/>
      <w:sz w:val="24"/>
      <w:szCs w:val="20"/>
    </w:rPr>
  </w:style>
  <w:style w:type="paragraph" w:styleId="Heading5">
    <w:name w:val="heading 5"/>
    <w:basedOn w:val="Normal"/>
    <w:next w:val="Normal"/>
    <w:link w:val="Heading5Char"/>
    <w:uiPriority w:val="9"/>
    <w:semiHidden/>
    <w:unhideWhenUsed/>
    <w:qFormat/>
    <w:rsid w:val="00BF2B71"/>
    <w:pPr>
      <w:keepNext/>
      <w:keepLines/>
      <w:spacing w:before="80" w:after="40"/>
      <w:outlineLvl w:val="4"/>
    </w:pPr>
    <w:rPr>
      <w:rFonts w:eastAsiaTheme="majorEastAsia" w:cstheme="majorBidi"/>
      <w:color w:val="0F4761" w:themeColor="accent1" w:themeShade="BF"/>
      <w:sz w:val="24"/>
      <w:szCs w:val="20"/>
    </w:rPr>
  </w:style>
  <w:style w:type="paragraph" w:styleId="Heading6">
    <w:name w:val="heading 6"/>
    <w:basedOn w:val="Normal"/>
    <w:next w:val="Normal"/>
    <w:link w:val="Heading6Char"/>
    <w:uiPriority w:val="9"/>
    <w:semiHidden/>
    <w:unhideWhenUsed/>
    <w:qFormat/>
    <w:rsid w:val="00BF2B71"/>
    <w:pPr>
      <w:keepNext/>
      <w:keepLines/>
      <w:spacing w:before="40" w:after="0"/>
      <w:outlineLvl w:val="5"/>
    </w:pPr>
    <w:rPr>
      <w:rFonts w:eastAsiaTheme="majorEastAsia" w:cstheme="majorBidi"/>
      <w:i/>
      <w:iCs/>
      <w:color w:val="595959" w:themeColor="text1" w:themeTint="A6"/>
      <w:sz w:val="24"/>
      <w:szCs w:val="20"/>
    </w:rPr>
  </w:style>
  <w:style w:type="paragraph" w:styleId="Heading7">
    <w:name w:val="heading 7"/>
    <w:basedOn w:val="Normal"/>
    <w:next w:val="Normal"/>
    <w:link w:val="Heading7Char"/>
    <w:uiPriority w:val="9"/>
    <w:semiHidden/>
    <w:unhideWhenUsed/>
    <w:qFormat/>
    <w:rsid w:val="00BF2B71"/>
    <w:pPr>
      <w:keepNext/>
      <w:keepLines/>
      <w:spacing w:before="40" w:after="0"/>
      <w:outlineLvl w:val="6"/>
    </w:pPr>
    <w:rPr>
      <w:rFonts w:eastAsiaTheme="majorEastAsia" w:cstheme="majorBidi"/>
      <w:color w:val="595959" w:themeColor="text1" w:themeTint="A6"/>
      <w:sz w:val="24"/>
      <w:szCs w:val="20"/>
    </w:rPr>
  </w:style>
  <w:style w:type="paragraph" w:styleId="Heading8">
    <w:name w:val="heading 8"/>
    <w:basedOn w:val="Normal"/>
    <w:next w:val="Normal"/>
    <w:link w:val="Heading8Char"/>
    <w:uiPriority w:val="9"/>
    <w:semiHidden/>
    <w:unhideWhenUsed/>
    <w:qFormat/>
    <w:rsid w:val="00BF2B71"/>
    <w:pPr>
      <w:keepNext/>
      <w:keepLines/>
      <w:spacing w:after="0"/>
      <w:outlineLvl w:val="7"/>
    </w:pPr>
    <w:rPr>
      <w:rFonts w:eastAsiaTheme="majorEastAsia" w:cstheme="majorBidi"/>
      <w:i/>
      <w:iCs/>
      <w:color w:val="272727" w:themeColor="text1" w:themeTint="D8"/>
      <w:sz w:val="24"/>
      <w:szCs w:val="20"/>
    </w:rPr>
  </w:style>
  <w:style w:type="paragraph" w:styleId="Heading9">
    <w:name w:val="heading 9"/>
    <w:basedOn w:val="Normal"/>
    <w:next w:val="Normal"/>
    <w:link w:val="Heading9Char"/>
    <w:uiPriority w:val="9"/>
    <w:semiHidden/>
    <w:unhideWhenUsed/>
    <w:qFormat/>
    <w:rsid w:val="00BF2B71"/>
    <w:pPr>
      <w:keepNext/>
      <w:keepLines/>
      <w:spacing w:after="0"/>
      <w:outlineLvl w:val="8"/>
    </w:pPr>
    <w:rPr>
      <w:rFonts w:eastAsiaTheme="majorEastAsia" w:cstheme="majorBidi"/>
      <w:color w:val="272727" w:themeColor="text1" w:themeTint="D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B71"/>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F2B71"/>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BF2B71"/>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2B71"/>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2B71"/>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2B7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2B7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2B7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2B7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2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B71"/>
    <w:rPr>
      <w:rFonts w:eastAsiaTheme="majorEastAsia"/>
      <w:spacing w:val="-10"/>
      <w:kern w:val="28"/>
      <w:sz w:val="56"/>
      <w:szCs w:val="56"/>
    </w:rPr>
  </w:style>
  <w:style w:type="paragraph" w:styleId="Subtitle">
    <w:name w:val="Subtitle"/>
    <w:basedOn w:val="Normal"/>
    <w:next w:val="Normal"/>
    <w:link w:val="SubtitleChar"/>
    <w:uiPriority w:val="11"/>
    <w:qFormat/>
    <w:rsid w:val="00BF2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B7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2B71"/>
    <w:pPr>
      <w:spacing w:before="160"/>
      <w:jc w:val="center"/>
    </w:pPr>
    <w:rPr>
      <w:rFonts w:asciiTheme="majorHAnsi" w:hAnsiTheme="majorHAnsi" w:cstheme="majorBidi"/>
      <w:i/>
      <w:iCs/>
      <w:color w:val="404040" w:themeColor="text1" w:themeTint="BF"/>
      <w:sz w:val="24"/>
      <w:szCs w:val="20"/>
    </w:rPr>
  </w:style>
  <w:style w:type="character" w:customStyle="1" w:styleId="QuoteChar">
    <w:name w:val="Quote Char"/>
    <w:basedOn w:val="DefaultParagraphFont"/>
    <w:link w:val="Quote"/>
    <w:uiPriority w:val="29"/>
    <w:rsid w:val="00BF2B71"/>
    <w:rPr>
      <w:i/>
      <w:iCs/>
      <w:color w:val="404040" w:themeColor="text1" w:themeTint="BF"/>
    </w:rPr>
  </w:style>
  <w:style w:type="paragraph" w:styleId="ListParagraph">
    <w:name w:val="List Paragraph"/>
    <w:basedOn w:val="Normal"/>
    <w:uiPriority w:val="34"/>
    <w:qFormat/>
    <w:rsid w:val="00BF2B71"/>
    <w:pPr>
      <w:ind w:left="720"/>
      <w:contextualSpacing/>
    </w:pPr>
    <w:rPr>
      <w:rFonts w:asciiTheme="majorHAnsi" w:hAnsiTheme="majorHAnsi" w:cstheme="majorBidi"/>
      <w:sz w:val="24"/>
      <w:szCs w:val="20"/>
    </w:rPr>
  </w:style>
  <w:style w:type="character" w:styleId="IntenseEmphasis">
    <w:name w:val="Intense Emphasis"/>
    <w:basedOn w:val="DefaultParagraphFont"/>
    <w:uiPriority w:val="21"/>
    <w:qFormat/>
    <w:rsid w:val="00BF2B71"/>
    <w:rPr>
      <w:i/>
      <w:iCs/>
      <w:color w:val="0F4761" w:themeColor="accent1" w:themeShade="BF"/>
    </w:rPr>
  </w:style>
  <w:style w:type="paragraph" w:styleId="IntenseQuote">
    <w:name w:val="Intense Quote"/>
    <w:basedOn w:val="Normal"/>
    <w:next w:val="Normal"/>
    <w:link w:val="IntenseQuoteChar"/>
    <w:uiPriority w:val="30"/>
    <w:qFormat/>
    <w:rsid w:val="00BF2B71"/>
    <w:pPr>
      <w:pBdr>
        <w:top w:val="single" w:sz="4" w:space="10" w:color="0F4761" w:themeColor="accent1" w:themeShade="BF"/>
        <w:bottom w:val="single" w:sz="4" w:space="10" w:color="0F4761" w:themeColor="accent1" w:themeShade="BF"/>
      </w:pBdr>
      <w:spacing w:before="360" w:after="360"/>
      <w:ind w:left="864" w:right="864"/>
      <w:jc w:val="center"/>
    </w:pPr>
    <w:rPr>
      <w:rFonts w:asciiTheme="majorHAnsi" w:hAnsiTheme="majorHAnsi" w:cstheme="majorBidi"/>
      <w:i/>
      <w:iCs/>
      <w:color w:val="0F4761" w:themeColor="accent1" w:themeShade="BF"/>
      <w:sz w:val="24"/>
      <w:szCs w:val="20"/>
    </w:rPr>
  </w:style>
  <w:style w:type="character" w:customStyle="1" w:styleId="IntenseQuoteChar">
    <w:name w:val="Intense Quote Char"/>
    <w:basedOn w:val="DefaultParagraphFont"/>
    <w:link w:val="IntenseQuote"/>
    <w:uiPriority w:val="30"/>
    <w:rsid w:val="00BF2B71"/>
    <w:rPr>
      <w:i/>
      <w:iCs/>
      <w:color w:val="0F4761" w:themeColor="accent1" w:themeShade="BF"/>
    </w:rPr>
  </w:style>
  <w:style w:type="character" w:styleId="IntenseReference">
    <w:name w:val="Intense Reference"/>
    <w:basedOn w:val="DefaultParagraphFont"/>
    <w:uiPriority w:val="32"/>
    <w:qFormat/>
    <w:rsid w:val="00BF2B71"/>
    <w:rPr>
      <w:b/>
      <w:bCs/>
      <w:smallCaps/>
      <w:color w:val="0F4761" w:themeColor="accent1" w:themeShade="BF"/>
      <w:spacing w:val="5"/>
    </w:rPr>
  </w:style>
  <w:style w:type="paragraph" w:styleId="FootnoteText">
    <w:name w:val="footnote text"/>
    <w:basedOn w:val="Normal"/>
    <w:link w:val="FootnoteTextChar"/>
    <w:uiPriority w:val="99"/>
    <w:semiHidden/>
    <w:unhideWhenUsed/>
    <w:rsid w:val="00335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9E0"/>
    <w:rPr>
      <w:rFonts w:asciiTheme="minorHAnsi" w:hAnsiTheme="minorHAnsi" w:cstheme="minorBidi"/>
      <w:sz w:val="20"/>
    </w:rPr>
  </w:style>
  <w:style w:type="character" w:styleId="FootnoteReference">
    <w:name w:val="footnote reference"/>
    <w:basedOn w:val="DefaultParagraphFont"/>
    <w:uiPriority w:val="99"/>
    <w:semiHidden/>
    <w:unhideWhenUsed/>
    <w:rsid w:val="003359E0"/>
    <w:rPr>
      <w:vertAlign w:val="superscript"/>
    </w:rPr>
  </w:style>
  <w:style w:type="paragraph" w:styleId="Header">
    <w:name w:val="header"/>
    <w:basedOn w:val="Normal"/>
    <w:link w:val="HeaderChar"/>
    <w:uiPriority w:val="99"/>
    <w:unhideWhenUsed/>
    <w:rsid w:val="0088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DC"/>
    <w:rPr>
      <w:rFonts w:asciiTheme="minorHAnsi" w:hAnsiTheme="minorHAnsi" w:cstheme="minorBidi"/>
      <w:sz w:val="22"/>
      <w:szCs w:val="22"/>
    </w:rPr>
  </w:style>
  <w:style w:type="paragraph" w:styleId="Footer">
    <w:name w:val="footer"/>
    <w:basedOn w:val="Normal"/>
    <w:link w:val="FooterChar"/>
    <w:uiPriority w:val="99"/>
    <w:unhideWhenUsed/>
    <w:rsid w:val="0088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DC"/>
    <w:rPr>
      <w:rFonts w:asciiTheme="minorHAnsi" w:hAnsiTheme="minorHAnsi" w:cstheme="minorBidi"/>
      <w:sz w:val="22"/>
      <w:szCs w:val="22"/>
    </w:rPr>
  </w:style>
  <w:style w:type="character" w:styleId="Hyperlink">
    <w:name w:val="Hyperlink"/>
    <w:basedOn w:val="DefaultParagraphFont"/>
    <w:uiPriority w:val="99"/>
    <w:unhideWhenUsed/>
    <w:rsid w:val="006931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065A-65AE-48A0-A118-BFDBAB67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Fields, Paula</cp:lastModifiedBy>
  <cp:revision>3</cp:revision>
  <cp:lastPrinted>2024-12-31T19:00:00Z</cp:lastPrinted>
  <dcterms:created xsi:type="dcterms:W3CDTF">2024-12-31T19:01:00Z</dcterms:created>
  <dcterms:modified xsi:type="dcterms:W3CDTF">2024-12-31T19:06:00Z</dcterms:modified>
</cp:coreProperties>
</file>