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2F79" w14:textId="77777777" w:rsidR="00A56EA9" w:rsidRPr="00550D85" w:rsidRDefault="00773B69" w:rsidP="00A56EA9">
      <w:pPr>
        <w:autoSpaceDE/>
        <w:autoSpaceDN/>
        <w:adjustRightInd/>
        <w:spacing w:after="200"/>
        <w:ind w:left="5040"/>
        <w:rPr>
          <w:rFonts w:eastAsiaTheme="minorHAnsi"/>
          <w:sz w:val="22"/>
          <w:szCs w:val="22"/>
        </w:rPr>
      </w:pPr>
      <w:r>
        <w:rPr>
          <w:rFonts w:ascii="Arial" w:eastAsiaTheme="minorHAnsi" w:hAnsi="Arial" w:cs="Arial"/>
          <w:sz w:val="22"/>
          <w:szCs w:val="22"/>
        </w:rPr>
        <w:tab/>
      </w:r>
      <w:r w:rsidR="00A56EA9" w:rsidRPr="00550D85">
        <w:rPr>
          <w:rFonts w:eastAsiaTheme="minorHAnsi"/>
          <w:sz w:val="22"/>
          <w:szCs w:val="22"/>
        </w:rPr>
        <w:t xml:space="preserve">IN THE CIRCUIT COURT, FOURTH </w:t>
      </w:r>
      <w:r w:rsidRPr="00550D85">
        <w:rPr>
          <w:rFonts w:eastAsiaTheme="minorHAnsi"/>
          <w:sz w:val="22"/>
          <w:szCs w:val="22"/>
        </w:rPr>
        <w:tab/>
      </w:r>
      <w:r w:rsidR="00A56EA9" w:rsidRPr="00550D85">
        <w:rPr>
          <w:rFonts w:eastAsiaTheme="minorHAnsi"/>
          <w:sz w:val="22"/>
          <w:szCs w:val="22"/>
        </w:rPr>
        <w:t>JUDICIAL CIRCUIT, IN AND FOR</w:t>
      </w:r>
      <w:r w:rsidR="00A56EA9" w:rsidRPr="00550D85">
        <w:rPr>
          <w:rFonts w:eastAsiaTheme="minorHAnsi"/>
          <w:sz w:val="22"/>
          <w:szCs w:val="22"/>
        </w:rPr>
        <w:tab/>
        <w:t xml:space="preserve"> </w:t>
      </w:r>
      <w:r w:rsidRPr="00550D85">
        <w:rPr>
          <w:rFonts w:eastAsiaTheme="minorHAnsi"/>
          <w:sz w:val="22"/>
          <w:szCs w:val="22"/>
        </w:rPr>
        <w:tab/>
      </w:r>
      <w:r w:rsidR="00A56EA9" w:rsidRPr="00550D85">
        <w:rPr>
          <w:rFonts w:eastAsiaTheme="minorHAnsi"/>
          <w:sz w:val="22"/>
          <w:szCs w:val="22"/>
        </w:rPr>
        <w:t>DUVAL COUNTY, FLORIDA</w:t>
      </w:r>
    </w:p>
    <w:p w14:paraId="5C99A816" w14:textId="47E6AE76" w:rsidR="004609B9" w:rsidRPr="004609B9" w:rsidRDefault="004609B9" w:rsidP="004609B9">
      <w:pPr>
        <w:rPr>
          <w:bCs/>
          <w:sz w:val="22"/>
          <w:szCs w:val="22"/>
        </w:rPr>
      </w:pPr>
      <w:bookmarkStart w:id="0" w:name="_Hlk111907932"/>
      <w:r w:rsidRPr="004609B9">
        <w:rPr>
          <w:bCs/>
          <w:sz w:val="22"/>
          <w:szCs w:val="22"/>
        </w:rPr>
        <w:t xml:space="preserve">,   </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7A7CB112"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Plaintiff</w:t>
      </w:r>
      <w:r w:rsidR="00497BF0">
        <w:rPr>
          <w:rFonts w:eastAsiaTheme="minorHAnsi"/>
          <w:sz w:val="22"/>
          <w:szCs w:val="22"/>
        </w:rPr>
        <w:t>(s)</w:t>
      </w:r>
      <w:r w:rsidRPr="00550D85">
        <w:rPr>
          <w:rFonts w:eastAsiaTheme="minorHAnsi"/>
          <w:sz w:val="22"/>
          <w:szCs w:val="22"/>
        </w:rPr>
        <w:t>,</w:t>
      </w:r>
    </w:p>
    <w:p w14:paraId="2419BB44" w14:textId="03232449" w:rsidR="00A56EA9" w:rsidRPr="00550D85" w:rsidRDefault="00A56EA9" w:rsidP="00A56EA9">
      <w:pPr>
        <w:autoSpaceDE/>
        <w:autoSpaceDN/>
        <w:adjustRightInd/>
        <w:rPr>
          <w:rFonts w:eastAsiaTheme="minorHAnsi"/>
          <w:sz w:val="22"/>
          <w:szCs w:val="22"/>
        </w:rPr>
      </w:pPr>
      <w:r w:rsidRPr="00550D85">
        <w:rPr>
          <w:rFonts w:eastAsiaTheme="minorHAnsi"/>
          <w:sz w:val="22"/>
          <w:szCs w:val="22"/>
        </w:rPr>
        <w:t>v.</w:t>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0F5C58" w:rsidRPr="00550D85">
        <w:rPr>
          <w:rFonts w:eastAsiaTheme="minorHAnsi"/>
          <w:sz w:val="22"/>
          <w:szCs w:val="22"/>
        </w:rPr>
        <w:t xml:space="preserve">         </w:t>
      </w:r>
      <w:r w:rsidR="0010051F" w:rsidRPr="00550D85">
        <w:rPr>
          <w:rFonts w:eastAsiaTheme="minorHAnsi"/>
          <w:sz w:val="22"/>
          <w:szCs w:val="22"/>
        </w:rPr>
        <w:t>Case No.</w:t>
      </w:r>
      <w:r w:rsidR="00D30E75" w:rsidRPr="00550D85">
        <w:rPr>
          <w:rFonts w:eastAsiaTheme="minorHAnsi"/>
          <w:sz w:val="22"/>
          <w:szCs w:val="22"/>
        </w:rPr>
        <w:t>:</w:t>
      </w:r>
      <w:r w:rsidR="0010051F" w:rsidRPr="00550D85">
        <w:rPr>
          <w:rFonts w:eastAsiaTheme="minorHAnsi"/>
          <w:sz w:val="22"/>
          <w:szCs w:val="22"/>
        </w:rPr>
        <w:t xml:space="preserve"> </w:t>
      </w:r>
      <w:r w:rsidR="001B43A0">
        <w:rPr>
          <w:rFonts w:eastAsiaTheme="minorHAnsi"/>
          <w:sz w:val="22"/>
          <w:szCs w:val="22"/>
        </w:rPr>
        <w:t>16-</w:t>
      </w:r>
    </w:p>
    <w:p w14:paraId="0A31E3F7" w14:textId="77777777" w:rsidR="00A56EA9" w:rsidRPr="00C33CDD" w:rsidRDefault="0010051F" w:rsidP="00A56EA9">
      <w:pPr>
        <w:autoSpaceDE/>
        <w:autoSpaceDN/>
        <w:adjustRightInd/>
        <w:rPr>
          <w:rFonts w:eastAsiaTheme="minorHAnsi"/>
          <w:sz w:val="22"/>
          <w:szCs w:val="22"/>
        </w:rPr>
      </w:pP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000F5C58" w:rsidRPr="00C33CDD">
        <w:rPr>
          <w:rFonts w:eastAsiaTheme="minorHAnsi"/>
          <w:sz w:val="22"/>
          <w:szCs w:val="22"/>
        </w:rPr>
        <w:t xml:space="preserve">         </w:t>
      </w:r>
      <w:r w:rsidRPr="00C33CDD">
        <w:rPr>
          <w:rFonts w:eastAsiaTheme="minorHAnsi"/>
          <w:sz w:val="22"/>
          <w:szCs w:val="22"/>
        </w:rPr>
        <w:t xml:space="preserve">Division:  </w:t>
      </w:r>
      <w:r w:rsidR="00D30E75" w:rsidRPr="00C33CDD">
        <w:rPr>
          <w:rFonts w:eastAsiaTheme="minorHAnsi"/>
          <w:sz w:val="22"/>
          <w:szCs w:val="22"/>
        </w:rPr>
        <w:t xml:space="preserve">  </w:t>
      </w:r>
      <w:r w:rsidR="00C61EB9" w:rsidRPr="00C33CDD">
        <w:rPr>
          <w:rFonts w:eastAsiaTheme="minorHAnsi"/>
          <w:sz w:val="22"/>
          <w:szCs w:val="22"/>
        </w:rPr>
        <w:t>CV-E</w:t>
      </w:r>
    </w:p>
    <w:p w14:paraId="187A5ED6" w14:textId="73304491" w:rsidR="004609B9" w:rsidRPr="004609B9" w:rsidRDefault="004609B9" w:rsidP="004609B9">
      <w:pPr>
        <w:rPr>
          <w:bCs/>
          <w:sz w:val="22"/>
          <w:szCs w:val="22"/>
        </w:rPr>
      </w:pPr>
      <w:bookmarkStart w:id="1" w:name="_Hlk111907942"/>
      <w:r w:rsidRPr="004609B9">
        <w:rPr>
          <w:bCs/>
          <w:sz w:val="22"/>
          <w:szCs w:val="22"/>
        </w:rPr>
        <w:t xml:space="preserve">,     </w:t>
      </w:r>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6BB2B461"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625D5179"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00926ACA" w:rsidRPr="00497BF0">
        <w:rPr>
          <w:sz w:val="22"/>
          <w:szCs w:val="22"/>
        </w:rPr>
        <w:t xml:space="preserve">, </w:t>
      </w:r>
      <w:r w:rsidR="00407874" w:rsidRPr="00497BF0">
        <w:rPr>
          <w:sz w:val="22"/>
          <w:szCs w:val="22"/>
        </w:rPr>
        <w:t>Esq</w:t>
      </w:r>
      <w:r w:rsidR="00E27E98" w:rsidRPr="00497BF0">
        <w:rPr>
          <w:sz w:val="22"/>
          <w:szCs w:val="22"/>
        </w:rPr>
        <w:t>uire</w:t>
      </w:r>
      <w:r w:rsidRPr="00497BF0">
        <w:rPr>
          <w:sz w:val="22"/>
          <w:szCs w:val="22"/>
        </w:rPr>
        <w:t xml:space="preserve"> for mediation of all pending disputed issues</w:t>
      </w:r>
      <w:r w:rsidR="00E1246C">
        <w:rPr>
          <w:sz w:val="22"/>
          <w:szCs w:val="22"/>
        </w:rPr>
        <w:t xml:space="preserve"> </w:t>
      </w:r>
      <w:r w:rsidR="00E1246C" w:rsidRPr="00E1246C">
        <w:rPr>
          <w:b/>
          <w:bCs/>
          <w:sz w:val="22"/>
          <w:szCs w:val="22"/>
        </w:rPr>
        <w:t>including, but not limited to, for cases in which section 768.0427, Florida Statutes applies, the determination of admissible evidence of medical treatment or service expenses for trial purposes.</w:t>
      </w:r>
      <w:r w:rsidR="00241527" w:rsidRPr="00E1246C">
        <w:rPr>
          <w:b/>
          <w:bCs/>
          <w:sz w:val="22"/>
          <w:szCs w:val="22"/>
        </w:rPr>
        <w:t xml:space="preserve"> </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5212827C"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00B37072" w:rsidRPr="00B37072">
        <w:rPr>
          <w:b/>
          <w:bCs/>
          <w:sz w:val="22"/>
          <w:szCs w:val="22"/>
        </w:rPr>
        <w:t>SIXTY</w:t>
      </w:r>
      <w:r w:rsidRPr="006B7A5D">
        <w:rPr>
          <w:b/>
          <w:bCs/>
          <w:sz w:val="22"/>
          <w:szCs w:val="22"/>
        </w:rPr>
        <w:t xml:space="preserve"> (</w:t>
      </w:r>
      <w:r w:rsidR="00B37072">
        <w:rPr>
          <w:b/>
          <w:bCs/>
          <w:sz w:val="22"/>
          <w:szCs w:val="22"/>
        </w:rPr>
        <w:t>60</w:t>
      </w:r>
      <w:r w:rsidRPr="006B7A5D">
        <w:rPr>
          <w:b/>
          <w:bCs/>
          <w:sz w:val="22"/>
          <w:szCs w:val="22"/>
        </w:rPr>
        <w:t>) DAYS</w:t>
      </w:r>
      <w:r>
        <w:rPr>
          <w:sz w:val="22"/>
          <w:szCs w:val="22"/>
        </w:rPr>
        <w:t xml:space="preserve"> prior to the Pre-Trial Conference.  </w:t>
      </w:r>
      <w:r w:rsidR="00F92E10">
        <w:rPr>
          <w:sz w:val="22"/>
          <w:szCs w:val="22"/>
        </w:rPr>
        <w:lastRenderedPageBreak/>
        <w:t xml:space="preserve">The parties and their attorneys shall cooperate with the mediator to schedule a mediation conference after the effective date of this Order but prior to the scheduled Pre-Trial Conference 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333FDEBD"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to using communication technology shall file a motion setting forth why good cause exists to grant the motion seeking an order requiring mediation b</w:t>
      </w:r>
      <w:r w:rsidR="001F16BB">
        <w:rPr>
          <w:sz w:val="22"/>
          <w:szCs w:val="22"/>
        </w:rPr>
        <w:t>e</w:t>
      </w:r>
      <w:r w:rsidR="00BB002B">
        <w:rPr>
          <w:sz w:val="22"/>
          <w:szCs w:val="22"/>
        </w:rPr>
        <w:t xml:space="preserve">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4F9DF76A" w:rsidR="00876AEE" w:rsidRPr="00876AEE"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Practices for Remote Court Proceedings” that can be found on Division CV-E’s Court website </w:t>
      </w:r>
      <w:r w:rsidRPr="00876AEE">
        <w:rPr>
          <w:sz w:val="22"/>
          <w:szCs w:val="22"/>
        </w:rPr>
        <w:t>(</w:t>
      </w:r>
      <w:hyperlink r:id="rId7" w:history="1">
        <w:r w:rsidRPr="00876AEE">
          <w:rPr>
            <w:rStyle w:val="Hyperlink"/>
            <w:sz w:val="22"/>
            <w:szCs w:val="22"/>
          </w:rPr>
          <w:t>https://www.jud4.org/Ex-Parte-Procedures-and-Dates</w:t>
        </w:r>
      </w:hyperlink>
      <w:r>
        <w:rPr>
          <w:rStyle w:val="Hyperlink"/>
          <w:sz w:val="22"/>
          <w:szCs w:val="22"/>
        </w:rPr>
        <w:t>)</w:t>
      </w:r>
      <w:r w:rsidRPr="00876AEE">
        <w:rPr>
          <w:rStyle w:val="Hyperlink"/>
          <w:color w:val="auto"/>
          <w:sz w:val="22"/>
          <w:szCs w:val="22"/>
          <w:u w:val="none"/>
        </w:rPr>
        <w:t>.</w:t>
      </w:r>
    </w:p>
    <w:p w14:paraId="49C35C6A" w14:textId="67FEEEC5"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w:t>
      </w:r>
      <w:r w:rsidR="001F16BB">
        <w:rPr>
          <w:sz w:val="22"/>
          <w:szCs w:val="22"/>
        </w:rPr>
        <w:t>wise</w:t>
      </w:r>
      <w:r w:rsidRPr="00876AEE">
        <w:rPr>
          <w:sz w:val="22"/>
          <w:szCs w:val="22"/>
        </w:rPr>
        <w:t xml:space="preserve"> agreed or ordered, the parties shall equally pay a portion of all mediation costs assessed by the mediator.</w:t>
      </w:r>
    </w:p>
    <w:p w14:paraId="7CA1FBD6" w14:textId="5B6774A5" w:rsidR="004C6476" w:rsidRPr="004C6476" w:rsidRDefault="004C6476" w:rsidP="00497BF0">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indirect civil contempt or indirect criminal contempt.  </w:t>
      </w:r>
    </w:p>
    <w:p w14:paraId="16B47951" w14:textId="29F138E6" w:rsidR="004C6476" w:rsidRPr="00E1246C"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t>Taxation of Mediation Costs.</w:t>
      </w:r>
      <w:r>
        <w:rPr>
          <w:sz w:val="22"/>
          <w:szCs w:val="22"/>
        </w:rPr>
        <w:t xml:space="preserve">  </w:t>
      </w:r>
      <w:r w:rsidRPr="00550D85">
        <w:rPr>
          <w:sz w:val="22"/>
          <w:szCs w:val="22"/>
        </w:rPr>
        <w:t>Where appropriate under the law, mediation costs may be taxed at the conclusion of the case.</w:t>
      </w:r>
    </w:p>
    <w:p w14:paraId="20C28920" w14:textId="77777777" w:rsidR="00E1246C" w:rsidRPr="004C6476" w:rsidRDefault="00E1246C" w:rsidP="00E1246C">
      <w:pPr>
        <w:pStyle w:val="ListParagraph"/>
        <w:spacing w:line="480" w:lineRule="auto"/>
        <w:jc w:val="both"/>
        <w:rPr>
          <w:b/>
          <w:bCs/>
          <w:sz w:val="22"/>
          <w:szCs w:val="22"/>
          <w:u w:val="single"/>
        </w:rPr>
      </w:pPr>
    </w:p>
    <w:p w14:paraId="6790D77F" w14:textId="513D4C10"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lastRenderedPageBreak/>
        <w:t>DONE AND ORDERED</w:t>
      </w:r>
      <w:r w:rsidRPr="00550D85">
        <w:rPr>
          <w:sz w:val="22"/>
          <w:szCs w:val="22"/>
        </w:rPr>
        <w:t>, in Chambe</w:t>
      </w:r>
      <w:r w:rsidR="001719DB" w:rsidRPr="00550D85">
        <w:rPr>
          <w:sz w:val="22"/>
          <w:szCs w:val="22"/>
        </w:rPr>
        <w:t>rs</w:t>
      </w:r>
      <w:r w:rsidRPr="00550D85">
        <w:rPr>
          <w:sz w:val="22"/>
          <w:szCs w:val="22"/>
        </w:rPr>
        <w:t xml:space="preserve"> at Jacksonville, Duval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77777777" w:rsidR="00AE7E96" w:rsidRPr="00550D85" w:rsidRDefault="00CD205B" w:rsidP="00AE7E96">
      <w:pPr>
        <w:tabs>
          <w:tab w:val="left" w:pos="4320"/>
          <w:tab w:val="left" w:pos="5040"/>
        </w:tabs>
        <w:jc w:val="both"/>
        <w:rPr>
          <w:b/>
          <w:sz w:val="22"/>
          <w:szCs w:val="22"/>
        </w:rPr>
      </w:pPr>
      <w:r>
        <w:rPr>
          <w:sz w:val="22"/>
          <w:szCs w:val="22"/>
        </w:rPr>
        <w:tab/>
        <w:t>B</w:t>
      </w:r>
      <w:r w:rsidR="00377506" w:rsidRPr="00550D85">
        <w:rPr>
          <w:sz w:val="22"/>
          <w:szCs w:val="22"/>
        </w:rPr>
        <w:t xml:space="preserve">RUCE R. ANDERSON, JR. </w:t>
      </w:r>
    </w:p>
    <w:p w14:paraId="4B3C48B9" w14:textId="77777777" w:rsidR="00AE7E96" w:rsidRPr="00550D85" w:rsidRDefault="00AE7E96" w:rsidP="00AE7E96">
      <w:pPr>
        <w:tabs>
          <w:tab w:val="left" w:pos="4320"/>
          <w:tab w:val="left" w:pos="5040"/>
        </w:tabs>
        <w:jc w:val="both"/>
        <w:rPr>
          <w:sz w:val="22"/>
          <w:szCs w:val="22"/>
        </w:rPr>
      </w:pPr>
      <w:r w:rsidRPr="00550D85">
        <w:rPr>
          <w:b/>
          <w:sz w:val="22"/>
          <w:szCs w:val="22"/>
        </w:rPr>
        <w:tab/>
      </w:r>
      <w:r w:rsidRPr="00550D85">
        <w:rPr>
          <w:sz w:val="22"/>
          <w:szCs w:val="22"/>
        </w:rPr>
        <w:t>C</w:t>
      </w:r>
      <w:r w:rsidR="001719DB" w:rsidRPr="00550D85">
        <w:rPr>
          <w:sz w:val="22"/>
          <w:szCs w:val="22"/>
        </w:rPr>
        <w:t>ircuit Judge</w:t>
      </w:r>
    </w:p>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8"/>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D76" w14:textId="77777777" w:rsidR="00407874" w:rsidRDefault="00407874" w:rsidP="007F47A9">
      <w:r>
        <w:separator/>
      </w:r>
    </w:p>
  </w:endnote>
  <w:endnote w:type="continuationSeparator" w:id="0">
    <w:p w14:paraId="6DA61C72" w14:textId="77777777" w:rsidR="00407874" w:rsidRDefault="00407874"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24173"/>
      <w:docPartObj>
        <w:docPartGallery w:val="Page Numbers (Bottom of Page)"/>
        <w:docPartUnique/>
      </w:docPartObj>
    </w:sdtPr>
    <w:sdtEndPr>
      <w:rPr>
        <w:noProof/>
      </w:rPr>
    </w:sdtEndPr>
    <w:sdtContent>
      <w:p w14:paraId="0A9E5845" w14:textId="77777777" w:rsidR="00407874" w:rsidRDefault="00407874">
        <w:pPr>
          <w:pStyle w:val="Footer"/>
          <w:jc w:val="center"/>
        </w:pPr>
        <w:r>
          <w:fldChar w:fldCharType="begin"/>
        </w:r>
        <w:r>
          <w:instrText xml:space="preserve"> PAGE   \* MERGEFORMAT </w:instrText>
        </w:r>
        <w:r>
          <w:fldChar w:fldCharType="separate"/>
        </w:r>
        <w:r w:rsidR="004A44C2">
          <w:rPr>
            <w:noProof/>
          </w:rPr>
          <w:t>- 3 -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4FB4" w14:textId="77777777" w:rsidR="00407874" w:rsidRDefault="00407874" w:rsidP="007F47A9">
      <w:r>
        <w:separator/>
      </w:r>
    </w:p>
  </w:footnote>
  <w:footnote w:type="continuationSeparator" w:id="0">
    <w:p w14:paraId="0B6E84B0" w14:textId="77777777" w:rsidR="00407874" w:rsidRDefault="00407874"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93652">
    <w:abstractNumId w:val="2"/>
  </w:num>
  <w:num w:numId="2" w16cid:durableId="636497493">
    <w:abstractNumId w:val="0"/>
  </w:num>
  <w:num w:numId="3" w16cid:durableId="1518697238">
    <w:abstractNumId w:val="3"/>
  </w:num>
  <w:num w:numId="4" w16cid:durableId="50201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1F16BB"/>
    <w:rsid w:val="00207817"/>
    <w:rsid w:val="00213184"/>
    <w:rsid w:val="0023098B"/>
    <w:rsid w:val="00241527"/>
    <w:rsid w:val="00243CBC"/>
    <w:rsid w:val="00257DA9"/>
    <w:rsid w:val="00262D78"/>
    <w:rsid w:val="0026620A"/>
    <w:rsid w:val="00286870"/>
    <w:rsid w:val="00295493"/>
    <w:rsid w:val="002A7585"/>
    <w:rsid w:val="002C210E"/>
    <w:rsid w:val="002D49B8"/>
    <w:rsid w:val="002E17C9"/>
    <w:rsid w:val="00325005"/>
    <w:rsid w:val="0036495F"/>
    <w:rsid w:val="00372F69"/>
    <w:rsid w:val="00377506"/>
    <w:rsid w:val="003A5B6B"/>
    <w:rsid w:val="003A7495"/>
    <w:rsid w:val="003C55B9"/>
    <w:rsid w:val="003C7364"/>
    <w:rsid w:val="003F2370"/>
    <w:rsid w:val="00403057"/>
    <w:rsid w:val="00407874"/>
    <w:rsid w:val="00412898"/>
    <w:rsid w:val="00451DF4"/>
    <w:rsid w:val="004609B9"/>
    <w:rsid w:val="00497BF0"/>
    <w:rsid w:val="004A1C00"/>
    <w:rsid w:val="004A2D64"/>
    <w:rsid w:val="004A44C2"/>
    <w:rsid w:val="004B576F"/>
    <w:rsid w:val="004C6476"/>
    <w:rsid w:val="00522331"/>
    <w:rsid w:val="005462F4"/>
    <w:rsid w:val="00546D74"/>
    <w:rsid w:val="00550D85"/>
    <w:rsid w:val="005637A3"/>
    <w:rsid w:val="00581FDE"/>
    <w:rsid w:val="005B0704"/>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A227A"/>
    <w:rsid w:val="006A69FA"/>
    <w:rsid w:val="006B4537"/>
    <w:rsid w:val="006B648A"/>
    <w:rsid w:val="006B7A5D"/>
    <w:rsid w:val="006D6359"/>
    <w:rsid w:val="006D6EE5"/>
    <w:rsid w:val="006F7B00"/>
    <w:rsid w:val="007412CA"/>
    <w:rsid w:val="00744C1D"/>
    <w:rsid w:val="00747E4E"/>
    <w:rsid w:val="00773B69"/>
    <w:rsid w:val="007854AE"/>
    <w:rsid w:val="007876A1"/>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61A3"/>
    <w:rsid w:val="008F4753"/>
    <w:rsid w:val="00914EAB"/>
    <w:rsid w:val="00917C65"/>
    <w:rsid w:val="00926ACA"/>
    <w:rsid w:val="00931CF5"/>
    <w:rsid w:val="0093706D"/>
    <w:rsid w:val="00937E4B"/>
    <w:rsid w:val="00972160"/>
    <w:rsid w:val="00991DE2"/>
    <w:rsid w:val="009936E7"/>
    <w:rsid w:val="009942F7"/>
    <w:rsid w:val="009A0C89"/>
    <w:rsid w:val="009A5012"/>
    <w:rsid w:val="009A5656"/>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645C"/>
    <w:rsid w:val="00B25762"/>
    <w:rsid w:val="00B359B6"/>
    <w:rsid w:val="00B37072"/>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214"/>
    <w:rsid w:val="00D30E75"/>
    <w:rsid w:val="00D404A6"/>
    <w:rsid w:val="00D42405"/>
    <w:rsid w:val="00D509BE"/>
    <w:rsid w:val="00D77114"/>
    <w:rsid w:val="00D92705"/>
    <w:rsid w:val="00DC3001"/>
    <w:rsid w:val="00DC459E"/>
    <w:rsid w:val="00DC6F63"/>
    <w:rsid w:val="00DE5DC1"/>
    <w:rsid w:val="00DE7767"/>
    <w:rsid w:val="00DF616B"/>
    <w:rsid w:val="00DF696A"/>
    <w:rsid w:val="00E058B5"/>
    <w:rsid w:val="00E1246C"/>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d4.org/Ex-Parte-Procedures-and-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2022-08-20T13:03:00Z</cp:lastPrinted>
  <dcterms:created xsi:type="dcterms:W3CDTF">2025-06-06T15:40:00Z</dcterms:created>
  <dcterms:modified xsi:type="dcterms:W3CDTF">2025-06-06T15:40:00Z</dcterms:modified>
</cp:coreProperties>
</file>